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0E4600" w14:textId="77777777" w:rsidR="002D1F29" w:rsidRDefault="00000000">
      <w:pPr>
        <w:pStyle w:val="Title"/>
      </w:pPr>
      <w:r>
        <w:t>Unlocking Value with DownREITs</w:t>
      </w:r>
    </w:p>
    <w:p w14:paraId="7EA03780" w14:textId="77777777" w:rsidR="002D1F29" w:rsidRDefault="00000000">
      <w:r>
        <w:t>A Modern Solution for Senior Housing Owners</w:t>
      </w:r>
    </w:p>
    <w:p w14:paraId="637E30F8" w14:textId="77777777" w:rsidR="002D1F29" w:rsidRDefault="00000000">
      <w:pPr>
        <w:pStyle w:val="Heading1"/>
      </w:pPr>
      <w:r>
        <w:t>Executive Summary</w:t>
      </w:r>
    </w:p>
    <w:p w14:paraId="7B298384" w14:textId="77777777" w:rsidR="002D1F29" w:rsidRDefault="00000000">
      <w:r>
        <w:t>Owners of senior housing communities often face a critical challenge: how to unlock the value of highly appreciated properties without triggering immediate, significant tax liabilities. Traditional tools such as 1031 exchanges can be complex, risky, and inflexible.</w:t>
      </w:r>
      <w:r>
        <w:br/>
      </w:r>
      <w:r>
        <w:br/>
        <w:t>DownREITs, structured through LTC Properties, Inc. (NYSE: LTC), offer a proven, tax-efficient pathway—allowing owners to monetize assets at fair market value, defer gains, secure predictable income, and gain liquidity through publicly traded shares. This structure provides not just financial flexibility, but also estate planning advantages and relief from day-to-day property management.</w:t>
      </w:r>
    </w:p>
    <w:p w14:paraId="02A74E9A" w14:textId="77777777" w:rsidR="002D1F29" w:rsidRDefault="00000000">
      <w:pPr>
        <w:pStyle w:val="Heading1"/>
      </w:pPr>
      <w:r>
        <w:t>Why DownREITs Matter Now</w:t>
      </w:r>
    </w:p>
    <w:p w14:paraId="677F0FEF" w14:textId="77777777" w:rsidR="002D1F29" w:rsidRDefault="00000000">
      <w:r>
        <w:t>The senior housing industry is at an inflection point. Demographic tailwinds are accelerating demand for quality care environments, while many long-time owners hold significant unrealized gains in legacy assets. For these owners, the question isn’t whether to unlock value—it’s how to do so without sacrificing wealth to taxes or getting trapped in an illiquid exchange.</w:t>
      </w:r>
    </w:p>
    <w:p w14:paraId="10932131" w14:textId="77777777" w:rsidR="002D1F29" w:rsidRDefault="00000000">
      <w:r>
        <w:t>A DownREIT offers:</w:t>
      </w:r>
    </w:p>
    <w:p w14:paraId="776D055A" w14:textId="1A99355A" w:rsidR="002D1F29" w:rsidRDefault="00000000">
      <w:pPr>
        <w:pStyle w:val="ListBullet"/>
      </w:pPr>
      <w:r>
        <w:t>Tax deferral on appreciated property</w:t>
      </w:r>
    </w:p>
    <w:p w14:paraId="2C734283" w14:textId="02A085EE" w:rsidR="002D1F29" w:rsidRDefault="00000000">
      <w:pPr>
        <w:pStyle w:val="ListBullet"/>
      </w:pPr>
      <w:r>
        <w:t xml:space="preserve"> Predictable cash flow through REIT dividend equivalents</w:t>
      </w:r>
    </w:p>
    <w:p w14:paraId="5CCB55F5" w14:textId="60DE6BFF" w:rsidR="002D1F29" w:rsidRDefault="00000000">
      <w:pPr>
        <w:pStyle w:val="ListBullet"/>
      </w:pPr>
      <w:r>
        <w:t xml:space="preserve"> Liquidity via the option to convert units into publicly traded shares</w:t>
      </w:r>
    </w:p>
    <w:p w14:paraId="7FAD84F2" w14:textId="4FE1F35F" w:rsidR="002D1F29" w:rsidRDefault="00000000">
      <w:pPr>
        <w:pStyle w:val="ListBullet"/>
      </w:pPr>
      <w:r>
        <w:t xml:space="preserve"> Diversification across LTC’s nationwide senior housing portfolio</w:t>
      </w:r>
    </w:p>
    <w:p w14:paraId="3ED23C2A" w14:textId="77777777" w:rsidR="002D1F29" w:rsidRDefault="00000000">
      <w:pPr>
        <w:pStyle w:val="ListBullet"/>
      </w:pPr>
      <w:r>
        <w:t>• Estate planning advantages with potential basis step-up for heirs</w:t>
      </w:r>
    </w:p>
    <w:p w14:paraId="225AE1AA" w14:textId="77777777" w:rsidR="002D1F29" w:rsidRDefault="00000000">
      <w:pPr>
        <w:pStyle w:val="Heading1"/>
      </w:pPr>
      <w:r>
        <w:t>The LTC Advantage</w:t>
      </w:r>
    </w:p>
    <w:p w14:paraId="138FF866" w14:textId="77777777" w:rsidR="002D1F29" w:rsidRDefault="00000000">
      <w:r>
        <w:t>LTC is a relationship-driven partner with decades of experience structuring complex transactions in senior housing and care. With nearly 200 properties in 25 states, we combine deep industry expertise with the flexibility and speed to tailor deals that meet owners’ unique goals.</w:t>
      </w:r>
      <w:r>
        <w:br/>
      </w:r>
      <w:r>
        <w:br/>
        <w:t xml:space="preserve">Unlike “one-size-fits-all” approaches, LTC’s DownREIT structures are customizable, aligning tax, estate, and investment planning needs. Owners gain peace of mind knowing they can transition their legacy assets into a diversified, liquid, and </w:t>
      </w:r>
      <w:r>
        <w:lastRenderedPageBreak/>
        <w:t>professionally managed platform—without losing control over when and how to realize gains.</w:t>
      </w:r>
    </w:p>
    <w:p w14:paraId="15391907" w14:textId="77777777" w:rsidR="002D1F29" w:rsidRDefault="00000000">
      <w:pPr>
        <w:pStyle w:val="Heading1"/>
      </w:pPr>
      <w:r>
        <w:t>How It Works</w:t>
      </w:r>
    </w:p>
    <w:p w14:paraId="4A81EF51" w14:textId="77777777" w:rsidR="002D1F29" w:rsidRDefault="00000000">
      <w:r>
        <w:t>1. Contribution: The owner contributes real property to a specially formed LTC operating partnership.</w:t>
      </w:r>
    </w:p>
    <w:p w14:paraId="75C6E518" w14:textId="77777777" w:rsidR="002D1F29" w:rsidRDefault="00000000">
      <w:r>
        <w:t>2. Exchange: In return, the owner receives operating partnership units, designed to mirror REIT shares.</w:t>
      </w:r>
    </w:p>
    <w:p w14:paraId="6A4FAE6C" w14:textId="77777777" w:rsidR="002D1F29" w:rsidRDefault="00000000">
      <w:r>
        <w:t>3. Cash Flow: Owners receive cash distributions equivalent to LTC’s dividend history.</w:t>
      </w:r>
    </w:p>
    <w:p w14:paraId="0DE343DF" w14:textId="77777777" w:rsidR="002D1F29" w:rsidRDefault="00000000">
      <w:r>
        <w:t>4. Flexibility: After a negotiated period, units can be exchanged for LTC common stock—or held to pass to heirs with stepped-up basis.</w:t>
      </w:r>
    </w:p>
    <w:p w14:paraId="62AF854C" w14:textId="77777777" w:rsidR="002D1F29" w:rsidRDefault="00000000">
      <w:r>
        <w:t>5. Reduced Burden: LTC assumes management oversight, relieving owners of operational complexity.</w:t>
      </w:r>
    </w:p>
    <w:p w14:paraId="029992CC" w14:textId="77777777" w:rsidR="002D1F29" w:rsidRDefault="00000000">
      <w:pPr>
        <w:pStyle w:val="Heading1"/>
      </w:pPr>
      <w:r>
        <w:t>Why Choose a DownREIT Over Other Options?</w:t>
      </w:r>
    </w:p>
    <w:p w14:paraId="58A15BF2" w14:textId="77777777" w:rsidR="002D1F29" w:rsidRDefault="00000000">
      <w:pPr>
        <w:pStyle w:val="ListBullet"/>
      </w:pPr>
      <w:r>
        <w:t>• 1031 Exchanges: Often cumbersome, risky, and illiquid.</w:t>
      </w:r>
    </w:p>
    <w:p w14:paraId="415149D4" w14:textId="77777777" w:rsidR="002D1F29" w:rsidRDefault="00000000">
      <w:pPr>
        <w:pStyle w:val="ListBullet"/>
      </w:pPr>
      <w:r>
        <w:t>• Direct Sale: Immediate tax hit can erode value by 20–30%+.</w:t>
      </w:r>
    </w:p>
    <w:p w14:paraId="668A1E9C" w14:textId="77777777" w:rsidR="002D1F29" w:rsidRDefault="00000000">
      <w:pPr>
        <w:pStyle w:val="ListBullet"/>
      </w:pPr>
      <w:r>
        <w:t>• UPREIT Structures: More rigid, less customizable, and often less aligned with individual owner needs.</w:t>
      </w:r>
    </w:p>
    <w:p w14:paraId="5BC52348" w14:textId="77777777" w:rsidR="002D1F29" w:rsidRDefault="00000000">
      <w:r>
        <w:br/>
        <w:t>DownREITs strike the balance—customized, flexible, and aligned with long-term value creation.</w:t>
      </w:r>
    </w:p>
    <w:p w14:paraId="34E76E7A" w14:textId="77777777" w:rsidR="002D1F29" w:rsidRDefault="00000000">
      <w:pPr>
        <w:pStyle w:val="Heading1"/>
      </w:pPr>
      <w:r>
        <w:t>Case for Action</w:t>
      </w:r>
    </w:p>
    <w:p w14:paraId="2D8618AF" w14:textId="77777777" w:rsidR="002D1F29" w:rsidRDefault="00000000">
      <w:r>
        <w:t>For senior housing owners, a DownREIT can transform appreciated but illiquid assets into a flexible, liquid, and tax-advantaged investment vehicle. It provides a pathway to diversify holdings, secure predictable income, and protect family wealth across generations.</w:t>
      </w:r>
      <w:r>
        <w:br/>
      </w:r>
      <w:r>
        <w:br/>
        <w:t>With LTC, you gain more than a transaction partner—you gain a trusted ally with decades of experience and a national footprint.</w:t>
      </w:r>
      <w:r>
        <w:br/>
      </w:r>
      <w:r>
        <w:br/>
        <w:t>It’s not just about deferring taxes. It’s about unlocking growth, liquidity, and legacy.</w:t>
      </w:r>
    </w:p>
    <w:p w14:paraId="0C6DCDAA" w14:textId="77777777" w:rsidR="002D1F29" w:rsidRDefault="00000000">
      <w:pPr>
        <w:pStyle w:val="Heading1"/>
      </w:pPr>
      <w:r>
        <w:t>Conclusion</w:t>
      </w:r>
    </w:p>
    <w:p w14:paraId="6B77AF4C" w14:textId="77777777" w:rsidR="002D1F29" w:rsidRDefault="00000000">
      <w:r>
        <w:t xml:space="preserve">As senior housing demand surges and capital markets evolve, now is the time for owners to consider strategies that preserve value while creating future flexibility. The </w:t>
      </w:r>
      <w:r>
        <w:lastRenderedPageBreak/>
        <w:t>LTC DownREIT is one such strategy—powerful, proven, and tailored to the needs of today’s senior housing owner.</w:t>
      </w:r>
      <w:r>
        <w:br/>
      </w:r>
      <w:r>
        <w:br/>
        <w:t>To explore how a DownREIT transaction might work for your portfolio, contact LTC Properties, Inc. today.</w:t>
      </w:r>
    </w:p>
    <w:p w14:paraId="698CEDD1" w14:textId="77777777" w:rsidR="002D1F29" w:rsidRDefault="00000000">
      <w:r>
        <w:t>Disclaimer: This document is for informational purposes only and does not constitute legal, tax, or investment advice. Owners should consult their advisors prior to pursuing any transaction.</w:t>
      </w:r>
    </w:p>
    <w:p w14:paraId="5E8C6AD4" w14:textId="77777777" w:rsidR="002D1F29" w:rsidRDefault="00000000">
      <w:pPr>
        <w:pStyle w:val="Heading1"/>
      </w:pPr>
      <w:r>
        <w:t>Visual Overview</w:t>
      </w:r>
    </w:p>
    <w:p w14:paraId="4BEB232D" w14:textId="77777777" w:rsidR="002D1F29" w:rsidRDefault="00000000">
      <w:r>
        <w:rPr>
          <w:b/>
          <w:color w:val="003366"/>
          <w:sz w:val="24"/>
        </w:rPr>
        <w:t>Property  ➝  DownREIT Units  ➝  REIT Shares  ➝  Liquidity</w:t>
      </w:r>
    </w:p>
    <w:p w14:paraId="16B15F39" w14:textId="77777777" w:rsidR="002D1F29" w:rsidRDefault="00000000">
      <w:pPr>
        <w:pStyle w:val="Heading1"/>
      </w:pPr>
      <w:r>
        <w:t>Key Benefits at a Glance</w:t>
      </w:r>
    </w:p>
    <w:tbl>
      <w:tblPr>
        <w:tblStyle w:val="LightShading-Accent1"/>
        <w:tblW w:w="0" w:type="auto"/>
        <w:tblLook w:val="04A0" w:firstRow="1" w:lastRow="0" w:firstColumn="1" w:lastColumn="0" w:noHBand="0" w:noVBand="1"/>
      </w:tblPr>
      <w:tblGrid>
        <w:gridCol w:w="8640"/>
      </w:tblGrid>
      <w:tr w:rsidR="002D1F29" w14:paraId="422EAE2A" w14:textId="77777777" w:rsidTr="002D1F2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0" w:type="dxa"/>
          </w:tcPr>
          <w:p w14:paraId="2D9EDA6F" w14:textId="77777777" w:rsidR="002D1F29" w:rsidRDefault="00000000">
            <w:r>
              <w:t>• Tax deferral on appreciated property</w:t>
            </w:r>
          </w:p>
        </w:tc>
      </w:tr>
      <w:tr w:rsidR="002D1F29" w14:paraId="06664DDB" w14:textId="77777777" w:rsidTr="002D1F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0" w:type="dxa"/>
          </w:tcPr>
          <w:p w14:paraId="13DC52EF" w14:textId="77777777" w:rsidR="002D1F29" w:rsidRDefault="00000000">
            <w:r>
              <w:t>• Predictable cash flow aligned with LTC dividends</w:t>
            </w:r>
          </w:p>
        </w:tc>
      </w:tr>
      <w:tr w:rsidR="002D1F29" w14:paraId="3AC364FD" w14:textId="77777777" w:rsidTr="002D1F29">
        <w:tc>
          <w:tcPr>
            <w:cnfStyle w:val="001000000000" w:firstRow="0" w:lastRow="0" w:firstColumn="1" w:lastColumn="0" w:oddVBand="0" w:evenVBand="0" w:oddHBand="0" w:evenHBand="0" w:firstRowFirstColumn="0" w:firstRowLastColumn="0" w:lastRowFirstColumn="0" w:lastRowLastColumn="0"/>
            <w:tcW w:w="8640" w:type="dxa"/>
          </w:tcPr>
          <w:p w14:paraId="1DC5726C" w14:textId="77777777" w:rsidR="002D1F29" w:rsidRDefault="00000000">
            <w:r>
              <w:t>• Liquidity through conversion into publicly traded shares</w:t>
            </w:r>
          </w:p>
        </w:tc>
      </w:tr>
      <w:tr w:rsidR="002D1F29" w14:paraId="03B62A5A" w14:textId="77777777" w:rsidTr="002D1F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0" w:type="dxa"/>
          </w:tcPr>
          <w:p w14:paraId="750609E2" w14:textId="77777777" w:rsidR="002D1F29" w:rsidRDefault="00000000">
            <w:r>
              <w:t>• Diversification across LTC’s senior housing portfolio</w:t>
            </w:r>
          </w:p>
        </w:tc>
      </w:tr>
      <w:tr w:rsidR="002D1F29" w14:paraId="12F69CB6" w14:textId="77777777" w:rsidTr="002D1F29">
        <w:tc>
          <w:tcPr>
            <w:cnfStyle w:val="001000000000" w:firstRow="0" w:lastRow="0" w:firstColumn="1" w:lastColumn="0" w:oddVBand="0" w:evenVBand="0" w:oddHBand="0" w:evenHBand="0" w:firstRowFirstColumn="0" w:firstRowLastColumn="0" w:lastRowFirstColumn="0" w:lastRowLastColumn="0"/>
            <w:tcW w:w="8640" w:type="dxa"/>
          </w:tcPr>
          <w:p w14:paraId="7E836CEC" w14:textId="77777777" w:rsidR="002D1F29" w:rsidRDefault="00000000">
            <w:r>
              <w:t>• Estate planning advantages with step-up basis potential</w:t>
            </w:r>
          </w:p>
        </w:tc>
      </w:tr>
    </w:tbl>
    <w:p w14:paraId="19E6B914" w14:textId="77777777" w:rsidR="00B0628B" w:rsidRDefault="00B0628B"/>
    <w:p w14:paraId="192C92A2" w14:textId="77777777" w:rsidR="00CA5780" w:rsidRDefault="00CA5780"/>
    <w:p w14:paraId="104726DA" w14:textId="77777777" w:rsidR="00CA5780" w:rsidRPr="00276C1C" w:rsidRDefault="00CA5780">
      <w:pPr>
        <w:rPr>
          <w:b/>
          <w:bCs/>
        </w:rPr>
      </w:pPr>
    </w:p>
    <w:p w14:paraId="6944ECB2" w14:textId="77777777" w:rsidR="00276C1C" w:rsidRPr="00276C1C" w:rsidRDefault="00276C1C">
      <w:pPr>
        <w:rPr>
          <w:b/>
          <w:bCs/>
        </w:rPr>
      </w:pPr>
      <w:r w:rsidRPr="00276C1C">
        <w:rPr>
          <w:b/>
          <w:bCs/>
        </w:rPr>
        <w:t xml:space="preserve">About LTC </w:t>
      </w:r>
    </w:p>
    <w:p w14:paraId="505A27FA" w14:textId="72908E8C" w:rsidR="00CA5780" w:rsidRDefault="00CA5780">
      <w:r w:rsidRPr="00CA5780">
        <w:t>LTC</w:t>
      </w:r>
      <w:r w:rsidR="00276C1C">
        <w:t xml:space="preserve"> Properties, Inc. (NYSE: LTC)</w:t>
      </w:r>
      <w:r w:rsidRPr="00CA5780">
        <w:t xml:space="preserve"> is a real estate investment trust (REIT) </w:t>
      </w:r>
      <w:r w:rsidR="00276C1C">
        <w:t>investing in</w:t>
      </w:r>
      <w:r w:rsidRPr="00CA5780">
        <w:t xml:space="preserve"> seniors housing and health care </w:t>
      </w:r>
      <w:r w:rsidR="00276C1C">
        <w:t>properties through</w:t>
      </w:r>
      <w:r w:rsidRPr="00CA5780">
        <w:t xml:space="preserve"> SHOP, triple-net leases, joint ventures, and structured finance solutions. The Company’s portfolio includes nearly 200 properties throughout the United States. Based on gross real estate investments, approximately 60% of the Company’s assets are seniors housing communities with the remainder skilled nursing centers. Learn more at </w:t>
      </w:r>
      <w:hyperlink r:id="rId6" w:history="1">
        <w:r w:rsidRPr="00CA5780">
          <w:rPr>
            <w:rStyle w:val="Hyperlink"/>
          </w:rPr>
          <w:t>www.ltcreit.com</w:t>
        </w:r>
      </w:hyperlink>
      <w:r w:rsidRPr="00CA5780">
        <w:t>.</w:t>
      </w:r>
    </w:p>
    <w:p w14:paraId="2CF81922" w14:textId="77777777" w:rsidR="00B12999" w:rsidRDefault="00B12999"/>
    <w:p w14:paraId="7CB1D40E" w14:textId="075FE5A5" w:rsidR="00B12999" w:rsidRDefault="00B12999">
      <w:r>
        <w:t xml:space="preserve">Contact us today! </w:t>
      </w:r>
      <w:r>
        <w:br/>
        <w:t>Dave Boitano, CIO</w:t>
      </w:r>
      <w:r>
        <w:br/>
      </w:r>
      <w:proofErr w:type="spellStart"/>
      <w:r>
        <w:t>dave</w:t>
      </w:r>
      <w:proofErr w:type="spellEnd"/>
      <w:r>
        <w:t xml:space="preserve">. </w:t>
      </w:r>
      <w:hyperlink r:id="rId7" w:history="1">
        <w:r w:rsidRPr="00FB3D9C">
          <w:rPr>
            <w:rStyle w:val="Hyperlink"/>
          </w:rPr>
          <w:t>boitano@ltcreit.com</w:t>
        </w:r>
      </w:hyperlink>
    </w:p>
    <w:p w14:paraId="32966562" w14:textId="4709396C" w:rsidR="00B12999" w:rsidRDefault="00B12999">
      <w:r>
        <w:t>Mike Bowden</w:t>
      </w:r>
      <w:r>
        <w:br/>
        <w:t>SVP, Investments</w:t>
      </w:r>
      <w:r>
        <w:br/>
        <w:t>mike.bowden@ltcreit.com</w:t>
      </w:r>
    </w:p>
    <w:p w14:paraId="340EA67D" w14:textId="57BAEFCC" w:rsidR="00CA5780" w:rsidRDefault="00CA5780">
      <w:r w:rsidRPr="00CA5780">
        <w:rPr>
          <w:noProof/>
        </w:rPr>
        <w:lastRenderedPageBreak/>
        <w:drawing>
          <wp:inline distT="0" distB="0" distL="0" distR="0" wp14:anchorId="268E986B" wp14:editId="6FC98715">
            <wp:extent cx="5486400" cy="3529330"/>
            <wp:effectExtent l="0" t="0" r="0" b="0"/>
            <wp:docPr id="17698961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86400" cy="3529330"/>
                    </a:xfrm>
                    <a:prstGeom prst="rect">
                      <a:avLst/>
                    </a:prstGeom>
                    <a:noFill/>
                    <a:ln>
                      <a:noFill/>
                    </a:ln>
                  </pic:spPr>
                </pic:pic>
              </a:graphicData>
            </a:graphic>
          </wp:inline>
        </w:drawing>
      </w:r>
    </w:p>
    <w:sectPr w:rsidR="00CA5780" w:rsidSect="00034616">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auto"/>
    <w:pitch w:val="variable"/>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ListNumber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ListBullet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ListBullet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ListBullet"/>
      <w:lvlText w:val=""/>
      <w:lvlJc w:val="left"/>
      <w:pPr>
        <w:tabs>
          <w:tab w:val="num" w:pos="360"/>
        </w:tabs>
        <w:ind w:left="360" w:hanging="360"/>
      </w:pPr>
      <w:rPr>
        <w:rFonts w:ascii="Symbol" w:hAnsi="Symbol" w:hint="default"/>
      </w:rPr>
    </w:lvl>
  </w:abstractNum>
  <w:num w:numId="1" w16cid:durableId="1594363502">
    <w:abstractNumId w:val="8"/>
  </w:num>
  <w:num w:numId="2" w16cid:durableId="108084700">
    <w:abstractNumId w:val="6"/>
  </w:num>
  <w:num w:numId="3" w16cid:durableId="1209105813">
    <w:abstractNumId w:val="5"/>
  </w:num>
  <w:num w:numId="4" w16cid:durableId="804396113">
    <w:abstractNumId w:val="4"/>
  </w:num>
  <w:num w:numId="5" w16cid:durableId="119107542">
    <w:abstractNumId w:val="7"/>
  </w:num>
  <w:num w:numId="6" w16cid:durableId="1196624666">
    <w:abstractNumId w:val="3"/>
  </w:num>
  <w:num w:numId="7" w16cid:durableId="1519344493">
    <w:abstractNumId w:val="2"/>
  </w:num>
  <w:num w:numId="8" w16cid:durableId="1501192635">
    <w:abstractNumId w:val="1"/>
  </w:num>
  <w:num w:numId="9" w16cid:durableId="14682349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7730"/>
    <w:rsid w:val="00034616"/>
    <w:rsid w:val="0006063C"/>
    <w:rsid w:val="0015074B"/>
    <w:rsid w:val="00276C1C"/>
    <w:rsid w:val="0029639D"/>
    <w:rsid w:val="002D1F29"/>
    <w:rsid w:val="00326F90"/>
    <w:rsid w:val="0072246E"/>
    <w:rsid w:val="00A04A7D"/>
    <w:rsid w:val="00AA1D8D"/>
    <w:rsid w:val="00B0628B"/>
    <w:rsid w:val="00B106E9"/>
    <w:rsid w:val="00B12999"/>
    <w:rsid w:val="00B47730"/>
    <w:rsid w:val="00B91B5E"/>
    <w:rsid w:val="00BE2DF4"/>
    <w:rsid w:val="00C30F5C"/>
    <w:rsid w:val="00C6257B"/>
    <w:rsid w:val="00CA5780"/>
    <w:rsid w:val="00CB0664"/>
    <w:rsid w:val="00FC693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C9C63BC"/>
  <w14:defaultImageDpi w14:val="300"/>
  <w15:docId w15:val="{0A8827CE-EBFF-44EC-8F0F-0957CEA988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693F"/>
    <w:rPr>
      <w:rFonts w:ascii="Arial" w:hAnsi="Arial"/>
    </w:rPr>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618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18BF"/>
  </w:style>
  <w:style w:type="paragraph" w:styleId="Footer">
    <w:name w:val="footer"/>
    <w:basedOn w:val="Normal"/>
    <w:link w:val="FooterChar"/>
    <w:uiPriority w:val="99"/>
    <w:unhideWhenUsed/>
    <w:rsid w:val="00E618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18BF"/>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Hyperlink">
    <w:name w:val="Hyperlink"/>
    <w:basedOn w:val="DefaultParagraphFont"/>
    <w:uiPriority w:val="99"/>
    <w:unhideWhenUsed/>
    <w:rsid w:val="00CA5780"/>
    <w:rPr>
      <w:color w:val="0000FF" w:themeColor="hyperlink"/>
      <w:u w:val="single"/>
    </w:rPr>
  </w:style>
  <w:style w:type="character" w:styleId="UnresolvedMention">
    <w:name w:val="Unresolved Mention"/>
    <w:basedOn w:val="DefaultParagraphFont"/>
    <w:uiPriority w:val="99"/>
    <w:semiHidden/>
    <w:unhideWhenUsed/>
    <w:rsid w:val="00CA578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openxmlformats.org/officeDocument/2006/relationships/styles" Target="styles.xml"/><Relationship Id="rId7" Type="http://schemas.openxmlformats.org/officeDocument/2006/relationships/hyperlink" Target="mailto:boitano@ltcreit.com"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https://url.avanan.click/v2/r01/___http:/www.ltcreit.com/___.YXAzOmx0Y3Byb3BlcnRpZXNpbmM6YTpvOjY0ZTQ2YjBkMzc3MGZmNjA2NDRmOTAzM2RkM2E4YjFkOjc6ZjkwODo1NWI5MzFhMDViYzliMGRhYTdkNTQzMmQ5NmYyNGE0YmQzN2RiYzEzYTM1OGQwNDkwZDQ2NTBhOWI3OTZkOTBjOnA6VDpG" TargetMode="Externa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766</Words>
  <Characters>4600</Characters>
  <Application>Microsoft Office Word</Application>
  <DocSecurity>0</DocSecurity>
  <Lines>106</Lines>
  <Paragraphs>51</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5315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
  <cp:lastModifiedBy>Mandi Hogan</cp:lastModifiedBy>
  <cp:revision>2</cp:revision>
  <dcterms:created xsi:type="dcterms:W3CDTF">2025-10-04T19:42:00Z</dcterms:created>
  <dcterms:modified xsi:type="dcterms:W3CDTF">2025-10-04T19:42:00Z</dcterms:modified>
  <cp:category/>
</cp:coreProperties>
</file>